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4DE70" w14:textId="77777777" w:rsidR="006C40C3" w:rsidRDefault="009A0864">
      <w:pPr>
        <w:pStyle w:val="Overskrift2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 xml:space="preserve">#44 HB-møde d. 26.10.2023 kl. 19:00-21:30 </w:t>
      </w:r>
    </w:p>
    <w:p w14:paraId="3BD6204A" w14:textId="77777777" w:rsidR="006C40C3" w:rsidRDefault="006C40C3">
      <w:pPr>
        <w:jc w:val="both"/>
      </w:pPr>
    </w:p>
    <w:tbl>
      <w:tblPr>
        <w:tblStyle w:val="a"/>
        <w:tblW w:w="151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930"/>
        <w:gridCol w:w="6420"/>
        <w:gridCol w:w="7095"/>
      </w:tblGrid>
      <w:tr w:rsidR="006C40C3" w14:paraId="5442C519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9A2A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Pkt.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0A95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Tid 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E15B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Emne 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10D6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Referat </w:t>
            </w:r>
          </w:p>
        </w:tc>
      </w:tr>
      <w:tr w:rsidR="006C40C3" w14:paraId="463B444C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2461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5DFA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 min</w:t>
            </w:r>
          </w:p>
          <w:p w14:paraId="58B21743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(19.00)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3E34" w14:textId="77777777" w:rsidR="006C40C3" w:rsidRDefault="009A0864">
            <w:pPr>
              <w:widowControl w:val="0"/>
            </w:pPr>
            <w:r>
              <w:t>Velkommen ved Trine</w:t>
            </w:r>
          </w:p>
          <w:p w14:paraId="1FE63B11" w14:textId="77777777" w:rsidR="006C40C3" w:rsidRDefault="006C40C3">
            <w:pPr>
              <w:widowControl w:val="0"/>
            </w:pPr>
          </w:p>
          <w:p w14:paraId="5E74BD69" w14:textId="77777777" w:rsidR="006C40C3" w:rsidRDefault="009A0864">
            <w:pPr>
              <w:widowControl w:val="0"/>
            </w:pPr>
            <w:r>
              <w:t>Valg af referent</w:t>
            </w:r>
          </w:p>
          <w:p w14:paraId="3F9354DD" w14:textId="77777777" w:rsidR="006C40C3" w:rsidRDefault="006C40C3">
            <w:pPr>
              <w:widowControl w:val="0"/>
            </w:pPr>
          </w:p>
          <w:p w14:paraId="122B7575" w14:textId="77777777" w:rsidR="006C40C3" w:rsidRDefault="006C40C3">
            <w:pPr>
              <w:widowControl w:val="0"/>
            </w:pPr>
          </w:p>
          <w:p w14:paraId="2845D4CF" w14:textId="77777777" w:rsidR="006C40C3" w:rsidRDefault="006C40C3">
            <w:pPr>
              <w:widowControl w:val="0"/>
            </w:pPr>
          </w:p>
          <w:p w14:paraId="1A01D1BC" w14:textId="77777777" w:rsidR="006C40C3" w:rsidRDefault="006C40C3"/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C62E" w14:textId="77777777" w:rsidR="006C40C3" w:rsidRDefault="009A0864">
            <w:pPr>
              <w:widowControl w:val="0"/>
            </w:pPr>
            <w:r>
              <w:t>Referent: Mark Desholm (sekretariatschef)</w:t>
            </w:r>
          </w:p>
          <w:p w14:paraId="3ADAA4FC" w14:textId="77777777" w:rsidR="006C40C3" w:rsidRDefault="009A0864">
            <w:pPr>
              <w:widowControl w:val="0"/>
            </w:pPr>
            <w:r>
              <w:t>Mødeleder: Trine Aslaug Hansen (Hovedbestyrelsens forperson)</w:t>
            </w:r>
          </w:p>
          <w:p w14:paraId="70F81BF4" w14:textId="77777777" w:rsidR="006C40C3" w:rsidRDefault="006C40C3">
            <w:pPr>
              <w:widowControl w:val="0"/>
            </w:pPr>
          </w:p>
          <w:p w14:paraId="7955599F" w14:textId="77777777" w:rsidR="006C40C3" w:rsidRDefault="009A0864">
            <w:pPr>
              <w:widowControl w:val="0"/>
            </w:pPr>
            <w:r>
              <w:t xml:space="preserve">Deltagere: Nicklas Hakmann, Carsten Borup,  Kristian Johnsen, Nilas Bay-Foged, Jesper Callesen, Dan Lundstedt, Torben Petersen Nicolaisen, Clara Wolf, Lars Holstein, Anne-Marie Hemmeth, Carsten Roed, Marius Enzo Drouin Mortensen. Ole Michael Dupont Kofod, </w:t>
            </w:r>
            <w:r>
              <w:t>Simon Riget</w:t>
            </w:r>
          </w:p>
          <w:p w14:paraId="5A5C1DE0" w14:textId="77777777" w:rsidR="006C40C3" w:rsidRDefault="006C40C3">
            <w:pPr>
              <w:widowControl w:val="0"/>
            </w:pPr>
          </w:p>
          <w:p w14:paraId="1AF2F09F" w14:textId="77777777" w:rsidR="006C40C3" w:rsidRDefault="009A0864">
            <w:pPr>
              <w:widowControl w:val="0"/>
            </w:pPr>
            <w:r>
              <w:t>Afbud: Marius,</w:t>
            </w:r>
          </w:p>
          <w:p w14:paraId="7505B9DB" w14:textId="77777777" w:rsidR="006C40C3" w:rsidRDefault="006C40C3">
            <w:pPr>
              <w:widowControl w:val="0"/>
            </w:pPr>
          </w:p>
          <w:p w14:paraId="77B80C4D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Fraværende: Clara, Kristian, </w:t>
            </w:r>
          </w:p>
          <w:p w14:paraId="6ABCEF04" w14:textId="77777777" w:rsidR="006C40C3" w:rsidRDefault="006C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D2A4ED5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Mulige faste mødedeltagere: Mark Desholm (sekr.), Nicklas Hakmann, Carsten Borup,  Kristian Johnsen, Nilas Bay-Foged, Jesper Callesen, Dan Lundstedt, Torben Petersen Nicolaisen, Trine Aslaug Hanse</w:t>
            </w:r>
            <w:r>
              <w:t>n, Clara Wolf, Lars Holstein, Anne-Marie Hemmeth, Carsten Roed, Marius Enzo Drouin Mortensen. Ole Michael Dupont Kofod, Simon Riget</w:t>
            </w:r>
          </w:p>
          <w:p w14:paraId="0B1F2E2E" w14:textId="77777777" w:rsidR="006C40C3" w:rsidRDefault="006C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C40C3" w14:paraId="2314E796" w14:textId="77777777">
        <w:trPr>
          <w:trHeight w:val="106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EA2E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C6FF" w14:textId="77777777" w:rsidR="006C40C3" w:rsidRDefault="009A0864">
            <w:pPr>
              <w:widowControl w:val="0"/>
            </w:pPr>
            <w:r>
              <w:t>10 min</w:t>
            </w:r>
          </w:p>
          <w:p w14:paraId="08A1E7C7" w14:textId="77777777" w:rsidR="006C40C3" w:rsidRDefault="009A0864">
            <w:pPr>
              <w:widowControl w:val="0"/>
            </w:pPr>
            <w:r>
              <w:t>(19.05)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672E" w14:textId="77777777" w:rsidR="006C40C3" w:rsidRDefault="009A08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Tilbagemelding fra POFO ved Nilas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17CA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</w:t>
            </w:r>
          </w:p>
          <w:p w14:paraId="1F61968C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på EP-valggrundlaget ved sidste og det kommende POFO-møde. </w:t>
            </w:r>
          </w:p>
          <w:p w14:paraId="7DD93D91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kommer omkring HB og skal godkendes af POFO.</w:t>
            </w:r>
          </w:p>
          <w:p w14:paraId="121BD32C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har været fokus på processer omkring politikudvikling.</w:t>
            </w:r>
          </w:p>
          <w:p w14:paraId="5080FD40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skal have taget en snak imellem POFO og sekretariatet, så vi kan få på plads, hvordan sekretariatet kan understøtte POLA’er og politikudvikling. </w:t>
            </w:r>
          </w:p>
          <w:p w14:paraId="7F8057EA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POFO skal kun ind over politikudvikling, når der laves noget nyt. </w:t>
            </w:r>
          </w:p>
          <w:p w14:paraId="79B999C6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Når der laves udspil fremadrettet, så la</w:t>
            </w:r>
            <w:r>
              <w:rPr>
                <w:sz w:val="24"/>
                <w:szCs w:val="24"/>
              </w:rPr>
              <w:t>ves der et kort følgeskriv, der beskriver hvor det politiske indhold er vedtaget tidligere.</w:t>
            </w:r>
          </w:p>
          <w:p w14:paraId="604D452D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har også været snakket om at lave et udvalg til politikudvikling til lokalpolitik. </w:t>
            </w:r>
          </w:p>
          <w:p w14:paraId="0F63C01E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var lidt snak om POFO og glæde over, at der lader til at være kommet for</w:t>
            </w:r>
            <w:r>
              <w:rPr>
                <w:sz w:val="24"/>
                <w:szCs w:val="24"/>
              </w:rPr>
              <w:t>nyet energi ind i POFO igen.</w:t>
            </w:r>
          </w:p>
          <w:p w14:paraId="00CE008A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er vigtigt at udspil og lanceres igennem vores medlemmer og kandidater og ikke “kun” via pressemøder på Borgen.</w:t>
            </w:r>
          </w:p>
          <w:p w14:paraId="79F7661A" w14:textId="77777777" w:rsidR="006C40C3" w:rsidRDefault="006C40C3">
            <w:pPr>
              <w:rPr>
                <w:sz w:val="24"/>
                <w:szCs w:val="24"/>
              </w:rPr>
            </w:pPr>
          </w:p>
        </w:tc>
      </w:tr>
      <w:tr w:rsidR="006C40C3" w14:paraId="67D6DDB1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3956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3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7BE7" w14:textId="77777777" w:rsidR="006C40C3" w:rsidRDefault="009A0864">
            <w:pPr>
              <w:widowControl w:val="0"/>
            </w:pPr>
            <w:r>
              <w:t>35 min</w:t>
            </w:r>
          </w:p>
          <w:p w14:paraId="411EF082" w14:textId="77777777" w:rsidR="006C40C3" w:rsidRDefault="009A0864">
            <w:pPr>
              <w:widowControl w:val="0"/>
            </w:pPr>
            <w:r>
              <w:t>(19.15)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8FC7" w14:textId="77777777" w:rsidR="006C40C3" w:rsidRDefault="009A0864">
            <w:pPr>
              <w:spacing w:before="240" w:after="240"/>
              <w:ind w:left="360"/>
            </w:pPr>
            <w:r>
              <w:t>Status på planen for Halvårsmødet og processen fremadrettet ved OU-gruppen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BC5B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</w:t>
            </w:r>
          </w:p>
          <w:p w14:paraId="2823BA97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har været en fed proces so far. Noah, Troels, Katrine og Josephine har også været med i arbejdsgruppen. </w:t>
            </w:r>
          </w:p>
          <w:p w14:paraId="7DB9E9ED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har været afholdt en lang række møder nu. </w:t>
            </w:r>
          </w:p>
          <w:p w14:paraId="60501657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lavet en informationsplan, så der kom diverse kommunikation ud omkring halvårsmødet. Der kommer </w:t>
            </w:r>
            <w:r>
              <w:rPr>
                <w:sz w:val="24"/>
                <w:szCs w:val="24"/>
              </w:rPr>
              <w:t>også et nyhedsbrev ud i næste uge. Desuden lægges der ting op på Alternativet 2.0.</w:t>
            </w:r>
          </w:p>
          <w:p w14:paraId="7B760183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handler generelt meget om medlems perspektivet. </w:t>
            </w:r>
          </w:p>
          <w:p w14:paraId="7924ECBB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lavet en dagsorden for halvårsmødet - den ligger inden på eventet på AlleOs.</w:t>
            </w:r>
          </w:p>
          <w:p w14:paraId="189AC2BD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bliver fire workshops, der køres</w:t>
            </w:r>
            <w:r>
              <w:rPr>
                <w:sz w:val="24"/>
                <w:szCs w:val="24"/>
              </w:rPr>
              <w:t xml:space="preserve"> fire gange hver og alle deltagere deltager på alle fire workshops. </w:t>
            </w:r>
          </w:p>
          <w:p w14:paraId="042D896E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fundet nogle engagerede facilitatorer til de fire workshops.</w:t>
            </w:r>
          </w:p>
          <w:p w14:paraId="61FE0059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et spor om vores strukturer i Å - leder hen imod nye vedtægter. Det andet spor handler om vores politik og polit</w:t>
            </w:r>
            <w:r>
              <w:rPr>
                <w:sz w:val="24"/>
                <w:szCs w:val="24"/>
              </w:rPr>
              <w:t xml:space="preserve">iske profil. </w:t>
            </w:r>
          </w:p>
          <w:p w14:paraId="686049CB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Hvilken magtpolitiske ambition har vi i Å. Vil vi ind i en lang række forlig eller vil vi udfordre de demokratiske spilleregler i Folketinget - vil vi f.eks. være Danmarks nye landbrugsparti?</w:t>
            </w:r>
          </w:p>
          <w:p w14:paraId="50FBED6D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Der bliver også lavet en SWOT-analyse i fællesrummet, hvor man sætter sine ideer og tanker op på post-its-sedler. </w:t>
            </w:r>
          </w:p>
          <w:p w14:paraId="6BD05206" w14:textId="77777777" w:rsidR="006C40C3" w:rsidRDefault="006C40C3">
            <w:pPr>
              <w:rPr>
                <w:sz w:val="24"/>
                <w:szCs w:val="24"/>
              </w:rPr>
            </w:pPr>
          </w:p>
          <w:p w14:paraId="31E7B1CF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kom input om, at man måske skulle nøjes med at køre hver workshop to gange, så der også er tid til at snakke sammen imellem de fire work</w:t>
            </w:r>
            <w:r>
              <w:rPr>
                <w:sz w:val="24"/>
                <w:szCs w:val="24"/>
              </w:rPr>
              <w:t xml:space="preserve">shops. </w:t>
            </w:r>
          </w:p>
          <w:p w14:paraId="209D0EF8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er også vigtigt at få samlet rigtig godt op på de gode ideer der kommer frem. </w:t>
            </w:r>
          </w:p>
          <w:p w14:paraId="4453FF7C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ser ud til, at der i alt fald kommer 100 medlemmer og det er flot.</w:t>
            </w:r>
          </w:p>
          <w:p w14:paraId="657D0525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Dagen starter og sluttes af med en plenum session.</w:t>
            </w:r>
          </w:p>
          <w:p w14:paraId="083B5920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Arbejdet der er blevet lavet indtil nu blev</w:t>
            </w:r>
            <w:r>
              <w:rPr>
                <w:sz w:val="24"/>
                <w:szCs w:val="24"/>
              </w:rPr>
              <w:t xml:space="preserve"> rost. Vigtigt at vi også får samlet op på strategien, som stadig hænger lidt efter det ordinære landsmøde. </w:t>
            </w:r>
          </w:p>
        </w:tc>
      </w:tr>
      <w:tr w:rsidR="006C40C3" w14:paraId="1098FEE7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AA90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4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394B" w14:textId="77777777" w:rsidR="006C40C3" w:rsidRDefault="009A0864">
            <w:pPr>
              <w:widowControl w:val="0"/>
              <w:jc w:val="center"/>
            </w:pPr>
            <w:r>
              <w:t>20 min</w:t>
            </w:r>
          </w:p>
          <w:p w14:paraId="62A9CA0F" w14:textId="77777777" w:rsidR="006C40C3" w:rsidRDefault="009A0864">
            <w:pPr>
              <w:widowControl w:val="0"/>
              <w:jc w:val="center"/>
            </w:pPr>
            <w:r>
              <w:t>(19.50)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9D28" w14:textId="77777777" w:rsidR="006C40C3" w:rsidRDefault="009A0864">
            <w:pPr>
              <w:widowControl w:val="0"/>
              <w:spacing w:before="240" w:after="240"/>
            </w:pPr>
            <w:r>
              <w:t>Budgetopfølgning for 3. kvartal ved Mark (Bilag 1)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DD1A" w14:textId="77777777" w:rsidR="006C40C3" w:rsidRDefault="009A0864">
            <w:pPr>
              <w:widowControl w:val="0"/>
            </w:pPr>
            <w:r>
              <w:t>Orientering</w:t>
            </w:r>
          </w:p>
          <w:p w14:paraId="5004F28E" w14:textId="77777777" w:rsidR="006C40C3" w:rsidRDefault="009A0864">
            <w:pPr>
              <w:widowControl w:val="0"/>
            </w:pPr>
            <w:r>
              <w:t>Mark gennemgik budgetopfølgning for 3. kvartal.</w:t>
            </w:r>
          </w:p>
          <w:p w14:paraId="68DA0FB2" w14:textId="77777777" w:rsidR="006C40C3" w:rsidRDefault="006C40C3">
            <w:pPr>
              <w:widowControl w:val="0"/>
            </w:pPr>
          </w:p>
        </w:tc>
      </w:tr>
      <w:tr w:rsidR="006C40C3" w14:paraId="451142F8" w14:textId="77777777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9239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7849" w14:textId="77777777" w:rsidR="006C40C3" w:rsidRDefault="009A0864">
            <w:pPr>
              <w:widowControl w:val="0"/>
              <w:jc w:val="center"/>
            </w:pPr>
            <w:r>
              <w:t>45 min</w:t>
            </w:r>
          </w:p>
          <w:p w14:paraId="4AE071B8" w14:textId="77777777" w:rsidR="006C40C3" w:rsidRDefault="009A0864">
            <w:pPr>
              <w:widowControl w:val="0"/>
              <w:jc w:val="center"/>
            </w:pPr>
            <w:r>
              <w:t>(20.10)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7A96" w14:textId="77777777" w:rsidR="006C40C3" w:rsidRDefault="009A0864">
            <w:r>
              <w:t>Opstart på budget2024-processen (Bilag 2) ved Mark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7EB2" w14:textId="77777777" w:rsidR="006C40C3" w:rsidRDefault="009A0864">
            <w:pPr>
              <w:widowControl w:val="0"/>
            </w:pPr>
            <w:r>
              <w:t>Debat</w:t>
            </w:r>
          </w:p>
          <w:p w14:paraId="1F5740F7" w14:textId="77777777" w:rsidR="006C40C3" w:rsidRDefault="009A0864">
            <w:pPr>
              <w:widowControl w:val="0"/>
            </w:pPr>
            <w:r>
              <w:t xml:space="preserve">Husk at storkreds valgte HB-medlemmer kan afholde lokale møder om indput til budget 24. </w:t>
            </w:r>
          </w:p>
          <w:p w14:paraId="71641673" w14:textId="77777777" w:rsidR="006C40C3" w:rsidRDefault="009A0864">
            <w:pPr>
              <w:widowControl w:val="0"/>
            </w:pPr>
            <w:r>
              <w:t>Alle melder ind med idéer og ønsker til budget24, så Mark kan præsentere et mere detaljeret bruttobudget til næste ordinære HB-møde i november (deadline er den 15. nov.)  - her skal HB så prioriterer, så vi ender med et budget der hænger sammen.</w:t>
            </w:r>
          </w:p>
          <w:p w14:paraId="27BE2800" w14:textId="77777777" w:rsidR="006C40C3" w:rsidRDefault="006C40C3">
            <w:pPr>
              <w:widowControl w:val="0"/>
            </w:pPr>
          </w:p>
        </w:tc>
      </w:tr>
      <w:tr w:rsidR="006C40C3" w14:paraId="6FB736EE" w14:textId="77777777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FC0F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AEBB" w14:textId="77777777" w:rsidR="006C40C3" w:rsidRDefault="009A0864">
            <w:pPr>
              <w:widowControl w:val="0"/>
              <w:jc w:val="center"/>
            </w:pPr>
            <w:r>
              <w:t>25 min</w:t>
            </w:r>
          </w:p>
          <w:p w14:paraId="2D580943" w14:textId="77777777" w:rsidR="006C40C3" w:rsidRDefault="009A0864">
            <w:pPr>
              <w:widowControl w:val="0"/>
              <w:jc w:val="center"/>
            </w:pPr>
            <w:r>
              <w:t>(20.55)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1433" w14:textId="77777777" w:rsidR="006C40C3" w:rsidRDefault="009A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 med daglig politisk ledelse ved Franciska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BBF99" w14:textId="77777777" w:rsidR="006C40C3" w:rsidRDefault="009A0864">
            <w:pPr>
              <w:widowControl w:val="0"/>
            </w:pPr>
            <w:r>
              <w:t>Debat</w:t>
            </w:r>
          </w:p>
          <w:p w14:paraId="1D52069C" w14:textId="77777777" w:rsidR="006C40C3" w:rsidRDefault="009A0864">
            <w:pPr>
              <w:widowControl w:val="0"/>
            </w:pPr>
            <w:r>
              <w:t xml:space="preserve">Franciska fortalte om, hvordan situationen ser ud på Borgen. Der er gang i meget lige nu. Mange forhandlinger som de forskellige MF’ere sidder I - b.la. finanslov. </w:t>
            </w:r>
          </w:p>
          <w:p w14:paraId="6ED440B9" w14:textId="77777777" w:rsidR="006C40C3" w:rsidRDefault="009A0864">
            <w:pPr>
              <w:widowControl w:val="0"/>
            </w:pPr>
            <w:r>
              <w:lastRenderedPageBreak/>
              <w:t xml:space="preserve">Der er også en del rejser. </w:t>
            </w:r>
          </w:p>
          <w:p w14:paraId="5FC3DFEF" w14:textId="77777777" w:rsidR="006C40C3" w:rsidRDefault="009A0864">
            <w:pPr>
              <w:widowControl w:val="0"/>
            </w:pPr>
            <w:r>
              <w:t xml:space="preserve">Der handles på noget strategi og handlingsplan i gruppen. </w:t>
            </w:r>
          </w:p>
          <w:p w14:paraId="7872AEDC" w14:textId="77777777" w:rsidR="006C40C3" w:rsidRDefault="009A0864">
            <w:pPr>
              <w:widowControl w:val="0"/>
            </w:pPr>
            <w:r>
              <w:t xml:space="preserve">Franciska sidder med fødevarer og landbrug rent politisk lige nu. </w:t>
            </w:r>
          </w:p>
          <w:p w14:paraId="62AB225C" w14:textId="77777777" w:rsidR="006C40C3" w:rsidRDefault="009A0864">
            <w:pPr>
              <w:widowControl w:val="0"/>
            </w:pPr>
            <w:r>
              <w:t>Den nye mindre folketingsgruppe bliver nu inviteret med til flere forhandlinger med de andre partier.</w:t>
            </w:r>
          </w:p>
          <w:p w14:paraId="5A5207C0" w14:textId="77777777" w:rsidR="006C40C3" w:rsidRDefault="009A0864">
            <w:pPr>
              <w:widowControl w:val="0"/>
            </w:pPr>
            <w:r>
              <w:t>Måske skal vi lave en fed f</w:t>
            </w:r>
            <w:r>
              <w:t>ødselsdagsfest?</w:t>
            </w:r>
          </w:p>
          <w:p w14:paraId="180032E9" w14:textId="77777777" w:rsidR="006C40C3" w:rsidRDefault="009A0864">
            <w:pPr>
              <w:widowControl w:val="0"/>
            </w:pPr>
            <w:r>
              <w:t>Det er meget forskelligt, hvor meget de eksterne ordfører bidrager med. Udviklingen af vores koncept med eksterne ordfører skal nok udvikles organisk - det er i alt fald der, hvor det har vist sig at blive bedst.</w:t>
            </w:r>
          </w:p>
          <w:p w14:paraId="5AADC62C" w14:textId="77777777" w:rsidR="006C40C3" w:rsidRDefault="006C40C3">
            <w:pPr>
              <w:widowControl w:val="0"/>
            </w:pPr>
          </w:p>
          <w:p w14:paraId="5798624B" w14:textId="77777777" w:rsidR="006C40C3" w:rsidRDefault="006C40C3">
            <w:pPr>
              <w:widowControl w:val="0"/>
            </w:pPr>
            <w:bookmarkStart w:id="1" w:name="_GoBack"/>
            <w:bookmarkEnd w:id="1"/>
          </w:p>
          <w:p w14:paraId="0BFFCF0F" w14:textId="77777777" w:rsidR="006C40C3" w:rsidRDefault="006C40C3">
            <w:pPr>
              <w:widowControl w:val="0"/>
            </w:pPr>
          </w:p>
        </w:tc>
      </w:tr>
      <w:tr w:rsidR="006C40C3" w14:paraId="3F5E6648" w14:textId="77777777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4969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8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3235" w14:textId="77777777" w:rsidR="006C40C3" w:rsidRDefault="009A0864">
            <w:pPr>
              <w:widowControl w:val="0"/>
              <w:jc w:val="center"/>
            </w:pPr>
            <w:r>
              <w:t>5 min</w:t>
            </w:r>
          </w:p>
          <w:p w14:paraId="65671F20" w14:textId="77777777" w:rsidR="006C40C3" w:rsidRDefault="009A0864">
            <w:pPr>
              <w:widowControl w:val="0"/>
              <w:jc w:val="center"/>
            </w:pPr>
            <w:r>
              <w:t>(21.20)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02D7" w14:textId="77777777" w:rsidR="006C40C3" w:rsidRDefault="009A08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Eventuelt </w:t>
            </w:r>
          </w:p>
          <w:p w14:paraId="73D3C160" w14:textId="77777777" w:rsidR="006C40C3" w:rsidRDefault="009A0864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 om processen med udarbejdelse af rammeaftale for DIPD-projekt (2024-25)</w:t>
            </w:r>
          </w:p>
          <w:p w14:paraId="1DAE86D3" w14:textId="77777777" w:rsidR="006C40C3" w:rsidRDefault="009A0864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Medlemsskab for ÅU´er i Å</w:t>
            </w:r>
          </w:p>
          <w:p w14:paraId="4B77055F" w14:textId="77777777" w:rsidR="006C40C3" w:rsidRDefault="009A0864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Husk at kigge i mappen med skriftlige HB-punkter.</w:t>
            </w:r>
          </w:p>
          <w:p w14:paraId="3015FA9C" w14:textId="77777777" w:rsidR="006C40C3" w:rsidRDefault="009A0864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ÅU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F821" w14:textId="77777777" w:rsidR="006C40C3" w:rsidRPr="009A0864" w:rsidRDefault="009A0864">
            <w:pPr>
              <w:widowControl w:val="0"/>
            </w:pPr>
            <w:commentRangeStart w:id="2"/>
            <w:r w:rsidRPr="009A0864">
              <w:t>Orientering</w:t>
            </w:r>
          </w:p>
          <w:p w14:paraId="55AAF270" w14:textId="77777777" w:rsidR="006C40C3" w:rsidRPr="009A0864" w:rsidRDefault="009A0864">
            <w:pPr>
              <w:widowControl w:val="0"/>
            </w:pPr>
            <w:r w:rsidRPr="009A0864">
              <w:t>Ok til at Anne-Marie og Mark køre processen færdig med at få go</w:t>
            </w:r>
            <w:r w:rsidRPr="009A0864">
              <w:t xml:space="preserve">dkendt rammeaftalen. Så får HB mulighed for, at komme med indput løbende igennem de to næste år, hvor vi starter projektet op. </w:t>
            </w:r>
          </w:p>
          <w:p w14:paraId="1A239479" w14:textId="77777777" w:rsidR="006C40C3" w:rsidRPr="009A0864" w:rsidRDefault="009A0864">
            <w:pPr>
              <w:widowControl w:val="0"/>
            </w:pPr>
            <w:r w:rsidRPr="009A0864">
              <w:t>Noah fikser, at de nye ÅU-medlemmer der også ønsker at være medlem af Å bliver overført.</w:t>
            </w:r>
          </w:p>
          <w:p w14:paraId="62039B01" w14:textId="77777777" w:rsidR="006C40C3" w:rsidRDefault="009A0864">
            <w:pPr>
              <w:widowControl w:val="0"/>
            </w:pPr>
            <w:r w:rsidRPr="009A0864">
              <w:t>Clara giver en update på ÅU på næste HB</w:t>
            </w:r>
            <w:r w:rsidRPr="009A0864">
              <w:t>-møde.</w:t>
            </w:r>
          </w:p>
        </w:tc>
      </w:tr>
      <w:commentRangeEnd w:id="2"/>
      <w:tr w:rsidR="006C40C3" w14:paraId="6E35F767" w14:textId="77777777">
        <w:trPr>
          <w:trHeight w:val="49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A7BB" w14:textId="77777777" w:rsidR="006C40C3" w:rsidRDefault="009A0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commentReference w:id="2"/>
            </w:r>
            <w:r>
              <w:t>9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8706" w14:textId="77777777" w:rsidR="006C40C3" w:rsidRDefault="009A0864">
            <w:pPr>
              <w:widowControl w:val="0"/>
              <w:jc w:val="center"/>
            </w:pPr>
            <w:r>
              <w:t>(21.25)</w:t>
            </w:r>
          </w:p>
        </w:tc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E611" w14:textId="77777777" w:rsidR="006C40C3" w:rsidRDefault="009A086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for i dag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01CE" w14:textId="77777777" w:rsidR="006C40C3" w:rsidRDefault="006C40C3">
            <w:pPr>
              <w:widowControl w:val="0"/>
            </w:pPr>
          </w:p>
        </w:tc>
      </w:tr>
    </w:tbl>
    <w:p w14:paraId="276113C5" w14:textId="77777777" w:rsidR="006C40C3" w:rsidRDefault="006C40C3">
      <w:pPr>
        <w:jc w:val="both"/>
      </w:pPr>
    </w:p>
    <w:p w14:paraId="52402F07" w14:textId="77777777" w:rsidR="006C40C3" w:rsidRDefault="006C40C3">
      <w:pPr>
        <w:jc w:val="both"/>
      </w:pPr>
    </w:p>
    <w:p w14:paraId="0358FDCF" w14:textId="77777777" w:rsidR="006C40C3" w:rsidRDefault="006C40C3">
      <w:pPr>
        <w:jc w:val="both"/>
      </w:pPr>
    </w:p>
    <w:sectPr w:rsidR="006C40C3">
      <w:headerReference w:type="default" r:id="rId9"/>
      <w:footerReference w:type="default" r:id="rId10"/>
      <w:footerReference w:type="first" r:id="rId11"/>
      <w:pgSz w:w="16834" w:h="11909" w:orient="landscape"/>
      <w:pgMar w:top="1440" w:right="855" w:bottom="1440" w:left="855" w:header="0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Jesper Callesen" w:date="2023-10-19T10:47:00Z" w:initials="">
    <w:p w14:paraId="33176B9A" w14:textId="77777777" w:rsidR="006C40C3" w:rsidRDefault="009A08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Hvad er status på situationen i ÅU, ikke mindst ovenpå det netop afviklede LM?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76B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35B85" w14:textId="77777777" w:rsidR="00000000" w:rsidRDefault="009A0864">
      <w:r>
        <w:separator/>
      </w:r>
    </w:p>
  </w:endnote>
  <w:endnote w:type="continuationSeparator" w:id="0">
    <w:p w14:paraId="372E70E5" w14:textId="77777777" w:rsidR="00000000" w:rsidRDefault="009A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9845A" w14:textId="77777777" w:rsidR="006C40C3" w:rsidRDefault="006C40C3">
    <w:pPr>
      <w:jc w:val="right"/>
      <w:rPr>
        <w:rFonts w:ascii="Arial" w:eastAsia="Arial" w:hAnsi="Arial" w:cs="Arial"/>
      </w:rPr>
    </w:pPr>
  </w:p>
  <w:p w14:paraId="77477311" w14:textId="77777777" w:rsidR="006C40C3" w:rsidRDefault="009A0864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af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</w:p>
  <w:p w14:paraId="0B16557B" w14:textId="77777777" w:rsidR="006C40C3" w:rsidRDefault="006C40C3">
    <w:pPr>
      <w:jc w:val="center"/>
      <w:rPr>
        <w:rFonts w:ascii="Arial" w:eastAsia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15D8" w14:textId="77777777" w:rsidR="006C40C3" w:rsidRDefault="006C40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D500F" w14:textId="77777777" w:rsidR="00000000" w:rsidRDefault="009A0864">
      <w:r>
        <w:separator/>
      </w:r>
    </w:p>
  </w:footnote>
  <w:footnote w:type="continuationSeparator" w:id="0">
    <w:p w14:paraId="04BC1E42" w14:textId="77777777" w:rsidR="00000000" w:rsidRDefault="009A0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4E676" w14:textId="77777777" w:rsidR="006C40C3" w:rsidRDefault="006C40C3">
    <w:pPr>
      <w:jc w:val="right"/>
    </w:pPr>
  </w:p>
  <w:p w14:paraId="0ADA0A1F" w14:textId="77777777" w:rsidR="006C40C3" w:rsidRDefault="009A0864">
    <w:pPr>
      <w:jc w:val="right"/>
    </w:pPr>
    <w:r>
      <w:rPr>
        <w:noProof/>
        <w:lang w:val="da-DK"/>
      </w:rPr>
      <w:drawing>
        <wp:inline distT="114300" distB="114300" distL="114300" distR="114300" wp14:anchorId="218D5E57" wp14:editId="4768E45B">
          <wp:extent cx="1795463" cy="4427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442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36FFD"/>
    <w:multiLevelType w:val="multilevel"/>
    <w:tmpl w:val="06346C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3"/>
    <w:rsid w:val="006C40C3"/>
    <w:rsid w:val="009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6180"/>
  <w15:docId w15:val="{0187A14F-7729-4110-9A06-D4433677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280" w:after="120" w:line="259" w:lineRule="auto"/>
      <w:outlineLvl w:val="1"/>
    </w:pPr>
    <w:rPr>
      <w:b/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086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Desholm</dc:creator>
  <cp:lastModifiedBy>Mark Desholm</cp:lastModifiedBy>
  <cp:revision>2</cp:revision>
  <dcterms:created xsi:type="dcterms:W3CDTF">2024-03-20T09:17:00Z</dcterms:created>
  <dcterms:modified xsi:type="dcterms:W3CDTF">2024-03-20T09:17:00Z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865205119</vt:i4>
  </property>
  <property fmtid="{D5CDD505-2E9C-101B-9397-08002B2CF9AE}" pid="3" name="_NewReviewCycle">
    <vt:lpwstr/>
  </property>
  <property fmtid="{D5CDD505-2E9C-101B-9397-08002B2CF9AE}" pid="4" name="_EmailSubject">
    <vt:lpwstr>De sidste offentlige HB-referater</vt:lpwstr>
  </property>
  <property fmtid="{D5CDD505-2E9C-101B-9397-08002B2CF9AE}" pid="5" name="_AuthorEmail">
    <vt:lpwstr>mark.desholm@ft.dk</vt:lpwstr>
  </property>
  <property fmtid="{D5CDD505-2E9C-101B-9397-08002B2CF9AE}" pid="6" name="_AuthorEmailDisplayName">
    <vt:lpwstr>Mark Desholm</vt:lpwstr>
  </property>
</Properties>
</file>